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center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bookmarkStart w:id="0" w:name="_GoBack"/>
      <w:bookmarkEnd w:id="0"/>
      <w:r w:rsidRPr="008C0A17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ПРОФИЛАКТИКА ДОМАШНЕГО НАСИЛИЯ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center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 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center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Материал подготовлен</w:t>
      </w:r>
    </w:p>
    <w:p w:rsidR="008C0A17" w:rsidRPr="008C0A17" w:rsidRDefault="008C0A17" w:rsidP="008C0A17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УОПП МОБ УВД Гродненского облисполкома</w:t>
      </w:r>
    </w:p>
    <w:p w:rsidR="008C0A17" w:rsidRPr="008C0A17" w:rsidRDefault="008C0A17" w:rsidP="008C0A17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М</w:t>
      </w:r>
      <w:r w:rsidRPr="008C0A1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етодика профилактики правонарушений в сфере семейно-бытовых отношений включает в себя осуществление целого комплекса разнообразных мероприятий. Специфика работы милиции в данном направлении заключается не только в организации эффективной системы реагирования на сигналы об уже совершенных правонарушениях, но и проведении упреждающих мероприятий по выявлению «проблемных» семей, острых бытовых конфликтов, осуществлении воспитательной работы с лицами, в отношении которых прогнозируется возможность преступного поведения в быту. 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Это такие направления, как обеспечение раннего выявления детей, воспитывающихся в неблагополучных семьях; принятие мер по организации надлежащего профилактического наблюдения за ранее судимыми лицами, отбывшими наказание за «бытовые» преступления; взаимодействие с органами местной власти, жилищно-эксплуатационными организациями по установлению граждан, длительное время не оплачивающих коммунальные услуги, ведущих антиобщественный образ жизни; проведение выездных судебных заседаний по изоляции лиц, злоупотребляющих спиртными напитками, ограничению в дееспособности и лишению родительских прав. </w:t>
      </w:r>
      <w:proofErr w:type="gramStart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Кроме этого, с участием других субъектов профилактики на территории области сотрудниками ОВД проводится профилактическая работа в составе смотровых комиссий по отработке домовладений граждан, в части не только установления рисков возникновения чрезвычайных ситуаций, но и предпосылок к противоправному поведению, в том числе в состоянии алкогольного опьянения их собственников и совместно проживающих лиц, в том числе ранее не попадавших в поле зрения</w:t>
      </w:r>
      <w:proofErr w:type="gramEnd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ОВД, с принятием скоординированных совместных профилактических мер к таким лицам со стороны заинтересованных субъектов профилактики.</w:t>
      </w:r>
    </w:p>
    <w:p w:rsidR="008C0A17" w:rsidRPr="008C0A17" w:rsidRDefault="008C0A17" w:rsidP="008C0A17">
      <w:pPr>
        <w:shd w:val="clear" w:color="auto" w:fill="FFFFFF"/>
        <w:spacing w:after="100" w:afterAutospacing="1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27"/>
          <w:szCs w:val="27"/>
          <w:lang w:eastAsia="ru-RU"/>
        </w:rPr>
        <w:lastRenderedPageBreak/>
        <w:t xml:space="preserve">В каждом регионе с участием заинтересованных субъектов профилактики проводятся комплексные профилактические отработки административных участков, где отмечаются негативные тенденции в </w:t>
      </w:r>
      <w:proofErr w:type="gramStart"/>
      <w:r w:rsidRPr="008C0A17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криминогенной обстановке</w:t>
      </w:r>
      <w:proofErr w:type="gramEnd"/>
      <w:r w:rsidRPr="008C0A17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 это далеко не весь перечень мероприятий, который проводится с целью предупреждения правонарушений в сфере семейно-бытовых отношений.</w:t>
      </w: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 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Всем известно, что на факты домашнего насилия сотрудники ОВД реагируют незамедлительно.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МВД разработан подробный алгоритм действий сотрудников милиции при реагировании на факты семейно-бытовых конфликтов. Определен порядок </w:t>
      </w:r>
      <w:proofErr w:type="gramStart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контроля за</w:t>
      </w:r>
      <w:proofErr w:type="gramEnd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полнотой проведенных мероприятий по ним </w:t>
      </w:r>
      <w:r w:rsidRPr="008C0A17">
        <w:rPr>
          <w:rFonts w:ascii="Arial" w:eastAsia="Times New Roman" w:hAnsi="Arial" w:cs="Arial"/>
          <w:i/>
          <w:iCs/>
          <w:color w:val="393939"/>
          <w:sz w:val="26"/>
          <w:szCs w:val="26"/>
          <w:lang w:eastAsia="ru-RU"/>
        </w:rPr>
        <w:t>(изложен в Инструкции об организации работы органов внутренних дел по профилактике правонарушений, утвержденной Приказом МВД Республики Беларусь от 03.01.2024 №1)</w:t>
      </w:r>
      <w:r w:rsidRPr="008C0A17">
        <w:rPr>
          <w:rFonts w:ascii="Arial" w:eastAsia="Times New Roman" w:hAnsi="Arial" w:cs="Arial"/>
          <w:color w:val="393939"/>
          <w:sz w:val="26"/>
          <w:szCs w:val="26"/>
          <w:lang w:eastAsia="ru-RU"/>
        </w:rPr>
        <w:t>.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Исходя из сложившейся практики, в большинстве случаев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по результатам реагирования на семейно-бытовые конфликты по решению сотрудников ОВД агрессор изолируется из семьи. Одновременно осуществляется направление сведений о таких конфликтах иным субъектам профилактики. В текущем году ОВД принято более 2 тысяч </w:t>
      </w: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(2284)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согласий о передаче информации о домашнем насилии в центры социального обслуживания населения.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целях оказания помощи лицам, попавшим в трудную жизненную ситуацию, обеспечено размещение в оперативно-дежурных службах территориальных органов внутренних дел информации о наличии в районах «кризисных» комнат, контактных телефонах работников, ответственных за размещение граждан, пострадавших от домашнего насилия, в том числе в ночное время суток.</w:t>
      </w:r>
    </w:p>
    <w:p w:rsidR="008C0A17" w:rsidRPr="008C0A17" w:rsidRDefault="008C0A17" w:rsidP="008C0A17">
      <w:pPr>
        <w:shd w:val="clear" w:color="auto" w:fill="FFFFFF"/>
        <w:spacing w:after="100" w:afterAutospacing="1"/>
        <w:ind w:right="-22"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 состоянию на 01 сентября текущего года ОВД области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в соответствии с Законом «Об основах деятельности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по профилактике правонарушений» профилактический учет осуществляется в отношении более 3 тысяч </w:t>
      </w: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(3002)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лиц, допустивших домашнее насилие, с которыми проводится соответствующая профилактическая работа.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proofErr w:type="gramStart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Эффективному решению проблемы домашнего насилия способствует и использование такой меры индивидуальной профилактики правонарушений, как защитное предписание: позволяющее его применить как на стадии подготовки дел об административных правонарушениях к рассмотрению, так и в порядке уголовно-процессуального законодательства </w:t>
      </w:r>
      <w:r w:rsidRPr="008C0A17">
        <w:rPr>
          <w:rFonts w:ascii="Arial" w:eastAsia="Times New Roman" w:hAnsi="Arial" w:cs="Arial"/>
          <w:i/>
          <w:iCs/>
          <w:color w:val="393939"/>
          <w:sz w:val="26"/>
          <w:szCs w:val="26"/>
          <w:lang w:eastAsia="ru-RU"/>
        </w:rPr>
        <w:t>(по преступлениям против жизни и здоровья, половой неприкосновенности или половой свободы либо личной свободы, чести и достоинства)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</w:t>
      </w:r>
      <w:proofErr w:type="gramEnd"/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текущем году к «</w:t>
      </w:r>
      <w:proofErr w:type="gramStart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дебоширам</w:t>
      </w:r>
      <w:proofErr w:type="gramEnd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» такая мера применялась более 2 тысяч раз </w:t>
      </w: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(2223)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 За нарушение требований защитного предписания граждане привлекались к административной ответственности 175 раз.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сфере семейно-бытовых отношений в текущем году выявлено 2910 административных правонарушений, по превентивным статьям в сфере домашнего насилия </w:t>
      </w:r>
      <w:r w:rsidRPr="008C0A17">
        <w:rPr>
          <w:rFonts w:ascii="Arial" w:eastAsia="Times New Roman" w:hAnsi="Arial" w:cs="Arial"/>
          <w:i/>
          <w:iCs/>
          <w:color w:val="393939"/>
          <w:sz w:val="26"/>
          <w:szCs w:val="26"/>
          <w:lang w:eastAsia="ru-RU"/>
        </w:rPr>
        <w:t>(ст.ст.153, 154, 186 УК</w:t>
      </w:r>
      <w:proofErr w:type="gramStart"/>
      <w:r w:rsidRPr="008C0A17">
        <w:rPr>
          <w:rFonts w:ascii="Arial" w:eastAsia="Times New Roman" w:hAnsi="Arial" w:cs="Arial"/>
          <w:i/>
          <w:iCs/>
          <w:color w:val="393939"/>
          <w:sz w:val="26"/>
          <w:szCs w:val="26"/>
          <w:lang w:eastAsia="ru-RU"/>
        </w:rPr>
        <w:t>)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</w:t>
      </w:r>
      <w:proofErr w:type="gramEnd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озбуждено на 154 уголовных дела.</w:t>
      </w:r>
    </w:p>
    <w:p w:rsidR="008C0A17" w:rsidRPr="008C0A17" w:rsidRDefault="008C0A17" w:rsidP="008C0A17">
      <w:pPr>
        <w:shd w:val="clear" w:color="auto" w:fill="FFFFFF"/>
        <w:spacing w:after="100" w:afterAutospacing="1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Безусловно, это достигнуто благодаря тесному взаимодействию с работниками прокуратуры, которым ОВД направляются ходатайства для начала административного процесса в случае нежелания потерпевшей стороны привлекать «</w:t>
      </w:r>
      <w:proofErr w:type="gramStart"/>
      <w:r w:rsidRPr="008C0A17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дебошира</w:t>
      </w:r>
      <w:proofErr w:type="gramEnd"/>
      <w:r w:rsidRPr="008C0A17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» к ответственности.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Большая роль в профилактике бытовой преступности отводится проводимым информационным компаниям. Населению доводится информация, о порядке уведомления субъектов профилактики правонарушений о ставших известных случаях насилия в семьях соседей, знакомых, родственников и др.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Кроме того в каждом райисполкоме имеется свой Интернет-сайт.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На их базе созданы и поддерживаются в актуальном состоянии специализированные разделы с информацией по вопросам профилактики домашнего насилия (ответственность за домашнее насилие, порядок оказания и виды помощи пострадавшим и др.).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Как известно систематическое пьянство (и ведение асоциального образа жизни) приводит к конфликтным ситуациям в семье, является детерминирующим фактором как преступности в целом, так и правонарушений в сфере семейно-бытовых отношений.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В целях деалкоголизации населения в текущем году </w:t>
      </w:r>
      <w:r w:rsidRPr="008C0A1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выявлено более двухсот </w:t>
      </w:r>
      <w:r w:rsidRPr="008C0A17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(234)</w:t>
      </w:r>
      <w:r w:rsidRPr="008C0A1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административных правонарушений за производство и реализацию алкогольных суррогатов, а лица, занимающиеся данным видом деятельности, были привлечены к административной ответственности. Из незаконного оборота изъято более 33 тысяч литров </w:t>
      </w:r>
      <w:r w:rsidRPr="008C0A17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(33650,9л.)</w:t>
      </w:r>
      <w:r w:rsidRPr="008C0A1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самогона, браги и фальсифицированного алкоголя</w:t>
      </w:r>
      <w:r w:rsidRPr="008C0A17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ЛТП изолированно 765 хронических алкоголиков.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Эффективность данной работы зависит от слаженного взаимодействия на местах милиции и учреждений здравоохранения.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Помимо этого, обеспечено участие представителей наркологических служб в работе смотровых комиссий, заседаниях советов ОПОП.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настоящее время сотрудниками ОВД по сообщениям о домашнем насилии потерпевшей стороне разъясняется возможность ограничения в дееспособности лица, допустившего насилие. В дееспособности ограничено 45 лиц, злоупотребляющих спиртными напитками, ставящих по указанным причинам семью в тяжелое материальное положение.</w:t>
      </w:r>
    </w:p>
    <w:p w:rsidR="008C0A17" w:rsidRPr="008C0A17" w:rsidRDefault="008C0A17" w:rsidP="008C0A17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Совместно с управлением здравоохранения облисполкома обеспечен взаимообмен информацией о гражданах, страдающих алкоголизмом, наркоманией, токсикоманией, склонных к совершению правонарушений и общественно опасному поведению.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Благодаря принятым мерам по итогам 8 месяцев текущего года сниженоколичество совершенных тяжких телесных повреждений</w:t>
      </w: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br/>
        <w:t>(с 11 до 5) 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 убийств </w:t>
      </w: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(с 9 до 3)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сфере домашнего насилия.</w:t>
      </w:r>
    </w:p>
    <w:p w:rsidR="008C0A17" w:rsidRPr="008C0A17" w:rsidRDefault="008C0A17" w:rsidP="008C0A17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         Говоря о профилактике домашнего насилия необходимо затронуть тему противодействие преступности, связанной с посягательством на </w:t>
      </w:r>
      <w:r w:rsidRPr="008C0A17">
        <w:rPr>
          <w:rFonts w:ascii="Arial" w:eastAsia="Times New Roman" w:hAnsi="Arial" w:cs="Arial"/>
          <w:color w:val="393939"/>
          <w:spacing w:val="20"/>
          <w:sz w:val="30"/>
          <w:szCs w:val="30"/>
          <w:lang w:eastAsia="ru-RU"/>
        </w:rPr>
        <w:t>половую неприкосновенность и половую свободу несовершеннолетних.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Данный вопрос является достаточно щепетильным, но </w:t>
      </w:r>
      <w:proofErr w:type="gramStart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молчать</w:t>
      </w:r>
      <w:proofErr w:type="gramEnd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ни в коем случае нельзя. Сегодня уже невозможно 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 xml:space="preserve">сделать вид, что этой проблемы нет в обществе. Она была всегда: как 10 лет </w:t>
      </w:r>
      <w:proofErr w:type="gramStart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назад</w:t>
      </w:r>
      <w:proofErr w:type="gramEnd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так и 20, однако  в то время  обсуждать ее было не принято. В месте с тем,  в последние годы ситуация кардинально изменилась.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8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На протяжении ряда лет в республике наблюдается сохранение высокого уровня преступности в данной сфере.</w:t>
      </w:r>
      <w:r w:rsidRPr="008C0A17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 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8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i/>
          <w:iCs/>
          <w:color w:val="393939"/>
          <w:sz w:val="26"/>
          <w:szCs w:val="26"/>
          <w:lang w:eastAsia="ru-RU"/>
        </w:rPr>
        <w:t>Справочно: работа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строится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2023–2024 годы, утвержденного первым заместителем премьер-министра Республики Беларусь  10.03.2023 № 33/102-477/118-дсп.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На первый взгляд может сложиться впечатление, что так называемых педофилов в последнее время стало </w:t>
      </w:r>
      <w:proofErr w:type="gramStart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очень много</w:t>
      </w:r>
      <w:proofErr w:type="gramEnd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 В этой можно отметить, что именно в последние годы наше общество стало поднимать верхушку айсберга, в том числе благодаря широкому освещению данного вопроса в средствах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20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Преступления в сфере половой свободы и половой неприкосновенности несовершеннолетних представляют собой одну из наиболее опасных форм асоциального поведения, в том числе и домашнего насилия и всегда вызывают широкий общественный резонанс негативной направленности.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Важно понимать, что такая категория преступлений имеет скрытый, латентный характер. Согласно букве закона, сексуальное насилие над несовершеннолетними – это тяжкое преступление. С медицинской точки зрения, </w:t>
      </w:r>
      <w:r w:rsidRPr="008C0A17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педофилия – это психическое расстройство, выражающееся в отклонениях сексуального предпочтения и патологическом влечении к детям. 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Иными словами, в каком бы ключе не трактовалось это явление, оно представляет собой серьезную девиацию, несущую угрозу для общества.</w:t>
      </w:r>
    </w:p>
    <w:p w:rsidR="008C0A17" w:rsidRPr="008C0A17" w:rsidRDefault="008C0A17" w:rsidP="008C0A17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         Сексуальное насилие в отношении детей имеет следующие формы: физическое и психологическое.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20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i/>
          <w:iCs/>
          <w:color w:val="393939"/>
          <w:sz w:val="24"/>
          <w:szCs w:val="24"/>
          <w:lang w:eastAsia="ru-RU"/>
        </w:rPr>
        <w:lastRenderedPageBreak/>
        <w:t>Сексуальное насилие</w:t>
      </w:r>
      <w:r w:rsidRPr="008C0A17">
        <w:rPr>
          <w:rFonts w:ascii="Arial" w:eastAsia="Times New Roman" w:hAnsi="Arial" w:cs="Arial"/>
          <w:b/>
          <w:bCs/>
          <w:i/>
          <w:iCs/>
          <w:color w:val="393939"/>
          <w:sz w:val="24"/>
          <w:szCs w:val="24"/>
          <w:lang w:eastAsia="ru-RU"/>
        </w:rPr>
        <w:t> </w:t>
      </w:r>
      <w:r w:rsidRPr="008C0A17">
        <w:rPr>
          <w:rFonts w:ascii="Arial" w:eastAsia="Times New Roman" w:hAnsi="Arial" w:cs="Arial"/>
          <w:i/>
          <w:iCs/>
          <w:color w:val="393939"/>
          <w:sz w:val="24"/>
          <w:szCs w:val="24"/>
          <w:lang w:eastAsia="ru-RU"/>
        </w:rPr>
        <w:t>– это вовлечение ребенка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выгоды.</w:t>
      </w:r>
    </w:p>
    <w:p w:rsidR="008C0A17" w:rsidRPr="008C0A17" w:rsidRDefault="008C0A17" w:rsidP="008C0A17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Физическое сексуальное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насилие выражается в совершении с ребенком конкретных действий сексуального характера или использовании его тела, изображения, образа в сексуальных целях. Сюда можно отнести: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непосредственно педофилию;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использование детской проституции;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торговлю детьми в целях сексуальной эксплуатации;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использование детей для порносъемок.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8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b/>
          <w:bCs/>
          <w:color w:val="393939"/>
          <w:sz w:val="30"/>
          <w:szCs w:val="30"/>
          <w:lang w:eastAsia="ru-RU"/>
        </w:rPr>
        <w:t>Психологическое или эмоциональное насилие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это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i/>
          <w:iCs/>
          <w:color w:val="393939"/>
          <w:sz w:val="26"/>
          <w:szCs w:val="26"/>
          <w:lang w:eastAsia="ru-RU"/>
        </w:rPr>
        <w:t>Справочно: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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Arial" w:eastAsia="Times New Roman" w:hAnsi="Arial" w:cs="Arial"/>
          <w:b/>
          <w:bCs/>
          <w:i/>
          <w:iCs/>
          <w:color w:val="393939"/>
          <w:sz w:val="30"/>
          <w:szCs w:val="30"/>
          <w:lang w:eastAsia="ru-RU"/>
        </w:rPr>
        <w:t>изнасилование</w:t>
      </w: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заведомо несовершеннолетнего, малолетнего </w:t>
      </w:r>
      <w:r w:rsidRPr="008C0A17">
        <w:rPr>
          <w:rFonts w:ascii="Arial" w:eastAsia="Times New Roman" w:hAnsi="Arial" w:cs="Arial"/>
          <w:b/>
          <w:bCs/>
          <w:i/>
          <w:iCs/>
          <w:color w:val="393939"/>
          <w:sz w:val="30"/>
          <w:szCs w:val="30"/>
          <w:lang w:eastAsia="ru-RU"/>
        </w:rPr>
        <w:t>(части 2, 3 статьи 166 УК)</w:t>
      </w: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;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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Arial" w:eastAsia="Times New Roman" w:hAnsi="Arial" w:cs="Arial"/>
          <w:b/>
          <w:bCs/>
          <w:i/>
          <w:iCs/>
          <w:color w:val="393939"/>
          <w:sz w:val="30"/>
          <w:szCs w:val="30"/>
          <w:lang w:eastAsia="ru-RU"/>
        </w:rPr>
        <w:t>насильственные действия</w:t>
      </w: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 сексуального характера в отношении заведомо несовершеннолетнего, малолетнего </w:t>
      </w:r>
      <w:r w:rsidRPr="008C0A17">
        <w:rPr>
          <w:rFonts w:ascii="Arial" w:eastAsia="Times New Roman" w:hAnsi="Arial" w:cs="Arial"/>
          <w:b/>
          <w:bCs/>
          <w:i/>
          <w:iCs/>
          <w:color w:val="393939"/>
          <w:sz w:val="30"/>
          <w:szCs w:val="30"/>
          <w:lang w:eastAsia="ru-RU"/>
        </w:rPr>
        <w:t>(части 2, 3 статьи 167 УК)</w:t>
      </w: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;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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Arial" w:eastAsia="Times New Roman" w:hAnsi="Arial" w:cs="Arial"/>
          <w:b/>
          <w:bCs/>
          <w:i/>
          <w:iCs/>
          <w:color w:val="393939"/>
          <w:sz w:val="30"/>
          <w:szCs w:val="30"/>
          <w:lang w:eastAsia="ru-RU"/>
        </w:rPr>
        <w:t>половое сношение и иные действия сексуального характера</w:t>
      </w: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 с лицом, не достигшим шестнадцатилетнего возраста </w:t>
      </w:r>
      <w:r w:rsidRPr="008C0A17">
        <w:rPr>
          <w:rFonts w:ascii="Arial" w:eastAsia="Times New Roman" w:hAnsi="Arial" w:cs="Arial"/>
          <w:b/>
          <w:bCs/>
          <w:i/>
          <w:iCs/>
          <w:color w:val="393939"/>
          <w:sz w:val="30"/>
          <w:szCs w:val="30"/>
          <w:lang w:eastAsia="ru-RU"/>
        </w:rPr>
        <w:t>(статья 168 УК)</w:t>
      </w: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;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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Arial" w:eastAsia="Times New Roman" w:hAnsi="Arial" w:cs="Arial"/>
          <w:b/>
          <w:bCs/>
          <w:i/>
          <w:iCs/>
          <w:color w:val="393939"/>
          <w:sz w:val="30"/>
          <w:szCs w:val="30"/>
          <w:lang w:eastAsia="ru-RU"/>
        </w:rPr>
        <w:t>развратные действия</w:t>
      </w: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 </w:t>
      </w:r>
      <w:r w:rsidRPr="008C0A17">
        <w:rPr>
          <w:rFonts w:ascii="Arial" w:eastAsia="Times New Roman" w:hAnsi="Arial" w:cs="Arial"/>
          <w:b/>
          <w:bCs/>
          <w:i/>
          <w:iCs/>
          <w:color w:val="393939"/>
          <w:sz w:val="30"/>
          <w:szCs w:val="30"/>
          <w:lang w:eastAsia="ru-RU"/>
        </w:rPr>
        <w:t>(статья 169 УК)</w:t>
      </w: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;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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Symbol" w:eastAsia="Times New Roman" w:hAnsi="Symbol" w:cs="Arial"/>
          <w:color w:val="393939"/>
          <w:sz w:val="30"/>
          <w:szCs w:val="30"/>
          <w:lang w:eastAsia="ru-RU"/>
        </w:rPr>
        <w:t></w:t>
      </w:r>
      <w:r w:rsidRPr="008C0A17">
        <w:rPr>
          <w:rFonts w:ascii="Arial" w:eastAsia="Times New Roman" w:hAnsi="Arial" w:cs="Arial"/>
          <w:b/>
          <w:bCs/>
          <w:i/>
          <w:iCs/>
          <w:color w:val="393939"/>
          <w:sz w:val="30"/>
          <w:szCs w:val="30"/>
          <w:lang w:eastAsia="ru-RU"/>
        </w:rPr>
        <w:t>понуждение к действиям сексуального характера</w:t>
      </w:r>
      <w:r w:rsidRPr="008C0A17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 заведомо несовершеннолетнего </w:t>
      </w:r>
      <w:r w:rsidRPr="008C0A17">
        <w:rPr>
          <w:rFonts w:ascii="Arial" w:eastAsia="Times New Roman" w:hAnsi="Arial" w:cs="Arial"/>
          <w:b/>
          <w:bCs/>
          <w:i/>
          <w:iCs/>
          <w:color w:val="393939"/>
          <w:sz w:val="30"/>
          <w:szCs w:val="30"/>
          <w:lang w:eastAsia="ru-RU"/>
        </w:rPr>
        <w:t>(часть 2 статьи 170 УК).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8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i/>
          <w:iCs/>
          <w:color w:val="393939"/>
          <w:sz w:val="26"/>
          <w:szCs w:val="26"/>
          <w:lang w:eastAsia="ru-RU"/>
        </w:rPr>
        <w:lastRenderedPageBreak/>
        <w:t>Согласно пункту второму части 2 статьи 174 УПК Республики Беларусь (далее – УПК) </w:t>
      </w:r>
      <w:r w:rsidRPr="008C0A17">
        <w:rPr>
          <w:rFonts w:ascii="Arial" w:eastAsia="Times New Roman" w:hAnsi="Arial" w:cs="Arial"/>
          <w:b/>
          <w:bCs/>
          <w:i/>
          <w:iCs/>
          <w:color w:val="393939"/>
          <w:sz w:val="26"/>
          <w:szCs w:val="26"/>
          <w:lang w:eastAsia="ru-RU"/>
        </w:rPr>
        <w:t>принятие решений</w:t>
      </w:r>
      <w:r w:rsidRPr="008C0A17">
        <w:rPr>
          <w:rFonts w:ascii="Arial" w:eastAsia="Times New Roman" w:hAnsi="Arial" w:cs="Arial"/>
          <w:i/>
          <w:iCs/>
          <w:color w:val="393939"/>
          <w:sz w:val="26"/>
          <w:szCs w:val="26"/>
          <w:lang w:eastAsia="ru-RU"/>
        </w:rPr>
        <w:t> </w:t>
      </w:r>
      <w:r w:rsidRPr="008C0A1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по поступившим заявлениям или сообщениям о преступлениях</w:t>
      </w:r>
      <w:r w:rsidRPr="008C0A17">
        <w:rPr>
          <w:rFonts w:ascii="Arial" w:eastAsia="Times New Roman" w:hAnsi="Arial" w:cs="Arial"/>
          <w:i/>
          <w:iCs/>
          <w:color w:val="393939"/>
          <w:sz w:val="26"/>
          <w:szCs w:val="26"/>
          <w:lang w:eastAsia="ru-RU"/>
        </w:rPr>
        <w:t> </w:t>
      </w:r>
      <w:r w:rsidRPr="008C0A17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против половой неприкосновенности или половой свободы, предусмотренных статьями 166 – 170 УК, </w:t>
      </w:r>
      <w:r w:rsidRPr="008C0A1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относится к исключительной компетенции органов предварительного следствия</w:t>
      </w:r>
      <w:r w:rsidRPr="008C0A17">
        <w:rPr>
          <w:rFonts w:ascii="Arial" w:eastAsia="Times New Roman" w:hAnsi="Arial" w:cs="Arial"/>
          <w:b/>
          <w:bCs/>
          <w:i/>
          <w:iCs/>
          <w:color w:val="393939"/>
          <w:sz w:val="26"/>
          <w:szCs w:val="26"/>
          <w:lang w:eastAsia="ru-RU"/>
        </w:rPr>
        <w:t>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8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Законодательство республики в данном направлении постоянно совершенствуется, разработаны законопроекты о введении административной ответственности за хранение и просмотр детской порнографии и меры принудительного лечения лиц, страдающих «педофилией». </w:t>
      </w:r>
      <w:r w:rsidRPr="008C0A17">
        <w:rPr>
          <w:rFonts w:ascii="Arial" w:eastAsia="Times New Roman" w:hAnsi="Arial" w:cs="Arial"/>
          <w:i/>
          <w:iCs/>
          <w:color w:val="393939"/>
          <w:sz w:val="27"/>
          <w:szCs w:val="27"/>
          <w:lang w:eastAsia="ru-RU"/>
        </w:rPr>
        <w:t> 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20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эта работы совершенствуется, в том числе изучается международный опыт.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рамках либерализации уголовного закона приняты инициативы МВД в части установления административной преюдиции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в статье 343 Уголовного кодекса Республики Беларусь (далее – УК),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br/>
        <w:t>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8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proofErr w:type="gramStart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виктимизации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</w:t>
      </w:r>
      <w:proofErr w:type="gramEnd"/>
    </w:p>
    <w:p w:rsidR="008C0A17" w:rsidRPr="008C0A17" w:rsidRDefault="008C0A17" w:rsidP="008C0A17">
      <w:pPr>
        <w:shd w:val="clear" w:color="auto" w:fill="FFFFFF"/>
        <w:spacing w:after="100" w:afterAutospacing="1"/>
        <w:ind w:firstLine="708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 xml:space="preserve"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</w:t>
      </w:r>
      <w:proofErr w:type="gramStart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ч</w:t>
      </w:r>
      <w:proofErr w:type="gramEnd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Преступность, связанная с посягательством на половую неприкосновенность несовершеннолетних, имеет высокий уровень латентности. Очевидно, что преступления указанной категории, как правило, совершаются без свидетелей, потерпевшие сообщают о совершенном преступлении </w:t>
      </w:r>
      <w:proofErr w:type="gramStart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</w:t>
      </w:r>
      <w:proofErr w:type="gramEnd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</w:t>
      </w:r>
      <w:proofErr w:type="gramStart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прошествии</w:t>
      </w:r>
      <w:proofErr w:type="gramEnd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(постирано белье, вымыто тело, уничтожены записи с камер наблюдения и т.д.).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proofErr w:type="gramStart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</w:t>
      </w:r>
      <w:proofErr w:type="gramEnd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8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Крайне важно своевременное выявление и предоставление правоохранительным органам материалов и сведений, подтверждающих факт сексуального насилия над ребенком, в том числе информацию о его физическом и психологическом состоянии. Активно используется алгоритм взаимодействия (методические рекомендации) правоохранительных органов с учреждениями здравоохранения, образования. Участники такой конструктивной деятельности предоставляют 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Значительная доля преступлений против половой неприкосновенности или половой свободы несовершеннолетних совершается близкими людьми: родителями, опекунами, сожителями матерей.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680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ОВД во взаимодействии с заинтересованными принят ряд мер по повышению эффективности противодействия преступлениям против половой неприкосновенности или половой свободы несовершеннолетних.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680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МВД совместно с Минобразования и представительством детского фонда ООН в Беларуси запустило информационный ресурс 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val="en-US" w:eastAsia="ru-RU"/>
        </w:rPr>
        <w:t>kids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val="en-US" w:eastAsia="ru-RU"/>
        </w:rPr>
        <w:t>pomogut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val="en-US" w:eastAsia="ru-RU"/>
        </w:rPr>
        <w:t>by</w:t>
      </w: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</w:t>
      </w:r>
    </w:p>
    <w:p w:rsidR="008C0A17" w:rsidRPr="008C0A17" w:rsidRDefault="008C0A17" w:rsidP="008C0A17">
      <w:pPr>
        <w:shd w:val="clear" w:color="auto" w:fill="FFFFFF"/>
        <w:spacing w:after="100" w:afterAutospacing="1"/>
        <w:ind w:firstLine="680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Подытоживая выступление, хочется особо подчеркнуть, что эффективный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</w:t>
      </w:r>
      <w:proofErr w:type="gramStart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сфере</w:t>
      </w:r>
      <w:proofErr w:type="gramEnd"/>
      <w:r w:rsidRPr="008C0A17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и является залогом успешности принимаемых мер. Защита детей от надругательства – это наша общая задача и необходимо сделать все от нас зависящее, для того, чтобы не допустить увеличения числа искалеченных судеб.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C0A17"/>
    <w:rsid w:val="000D212C"/>
    <w:rsid w:val="006C0B77"/>
    <w:rsid w:val="008242FF"/>
    <w:rsid w:val="00870751"/>
    <w:rsid w:val="008C0A17"/>
    <w:rsid w:val="00922C48"/>
    <w:rsid w:val="009D3C1E"/>
    <w:rsid w:val="00B915B7"/>
    <w:rsid w:val="00CD093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C0A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0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uiPriority w:val="35"/>
    <w:qFormat/>
    <w:rsid w:val="008C0A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C0A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C0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C0A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C0A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8C0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C0A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8C0A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2428</Words>
  <Characters>13846</Characters>
  <Application>Microsoft Office Word</Application>
  <DocSecurity>0</DocSecurity>
  <Lines>115</Lines>
  <Paragraphs>32</Paragraphs>
  <ScaleCrop>false</ScaleCrop>
  <Company/>
  <LinksUpToDate>false</LinksUpToDate>
  <CharactersWithSpaces>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2024-09-19T06:35:00Z</dcterms:created>
  <dcterms:modified xsi:type="dcterms:W3CDTF">2024-09-19T06:35:00Z</dcterms:modified>
</cp:coreProperties>
</file>