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0E" w:rsidRDefault="0014720E" w:rsidP="0014720E">
      <w:pPr>
        <w:pStyle w:val="a3"/>
        <w:shd w:val="clear" w:color="auto" w:fill="FFFFFF"/>
        <w:spacing w:before="0" w:beforeAutospacing="0"/>
        <w:jc w:val="center"/>
        <w:rPr>
          <w:rFonts w:ascii="Arial" w:hAnsi="Arial" w:cs="Arial"/>
          <w:color w:val="393939"/>
          <w:sz w:val="27"/>
          <w:szCs w:val="27"/>
        </w:rPr>
      </w:pPr>
      <w:bookmarkStart w:id="0" w:name="_GoBack"/>
      <w:bookmarkEnd w:id="0"/>
      <w:r>
        <w:rPr>
          <w:rFonts w:ascii="Arial" w:hAnsi="Arial" w:cs="Arial"/>
          <w:b/>
          <w:bCs/>
          <w:color w:val="393939"/>
          <w:sz w:val="27"/>
          <w:szCs w:val="27"/>
        </w:rPr>
        <w:t>ГРОДНЕНЩИНА – РЕГИОН СО ЗНАКОМ КАЧЕСТВА</w:t>
      </w:r>
    </w:p>
    <w:p w:rsidR="0014720E" w:rsidRDefault="0014720E" w:rsidP="0014720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(к 80-летию образования Гродненской области)</w:t>
      </w:r>
    </w:p>
    <w:p w:rsidR="0014720E" w:rsidRDefault="0014720E" w:rsidP="0014720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 </w:t>
      </w:r>
    </w:p>
    <w:p w:rsidR="0014720E" w:rsidRDefault="0014720E" w:rsidP="0014720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Материал подготовлен</w:t>
      </w:r>
    </w:p>
    <w:p w:rsidR="0014720E" w:rsidRDefault="0014720E" w:rsidP="0014720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структурными подразделениями</w:t>
      </w:r>
    </w:p>
    <w:p w:rsidR="0014720E" w:rsidRDefault="0014720E" w:rsidP="0014720E">
      <w:pPr>
        <w:pStyle w:val="a3"/>
        <w:shd w:val="clear" w:color="auto" w:fill="FFFFFF"/>
        <w:spacing w:before="0" w:beforeAutospacing="0"/>
        <w:jc w:val="center"/>
        <w:rPr>
          <w:rFonts w:ascii="Arial" w:hAnsi="Arial" w:cs="Arial"/>
          <w:color w:val="393939"/>
          <w:sz w:val="27"/>
          <w:szCs w:val="27"/>
        </w:rPr>
      </w:pPr>
      <w:r>
        <w:rPr>
          <w:rFonts w:ascii="Arial" w:hAnsi="Arial" w:cs="Arial"/>
          <w:i/>
          <w:iCs/>
          <w:color w:val="393939"/>
          <w:sz w:val="27"/>
          <w:szCs w:val="27"/>
        </w:rPr>
        <w:t> Гродненского облисполкома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b/>
          <w:bCs/>
          <w:color w:val="393939"/>
          <w:sz w:val="27"/>
          <w:szCs w:val="27"/>
        </w:rPr>
        <w:t> </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Гродненская область образована 20 сентября 1944 года. Это событие дало серьезный импульс возрождению всех сфер жизни Принеманского края. В состав области вошли город Гродно и шесть районов бывшей Белостокской области, город Лида и восемь районов Барановичской, один район Брестской области. Были сформированы руководящие органы – областной комитет КПБ и облисполком, областные службы и организации, которые незамедлительно приступили к работе. Во главе их встали бывшие партизаны и подпольщики, а также специалисты, направленные из других регионов страны.</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Уже в 1945 году вступили в строй цементный завод «Победа» мощностью 110 тысяч тонн цемента в год, Мостовский фанерный завод, Волковысский чугунолитейный завод, табачная фабрика, кожевенный завод и стеклозавод. В Скиделе началось возведение сахарного завода.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К 1951 году в области были созданы новые отрасли промышленности – текстильная, сельскохозяйственного машиностроения, пищевая. Восстановлено и вновь построено более 350 предприятий. Вступили в строй велосборочный завод, хлебокомбинат в г.Гродно, Лидский резинообувной комбинат, маслозаводы в Свислочи, Берестовице и другие предприятия.</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1947 году промышленность области достигла довоенного уровня, а в 1951 году она дала продукции в 3 раза больше, чем в 1940 году. Первая послевоенная пятилетка была выполнена досрочно – за четыре года и три месяца. Больше чем 40 предприятий справились с пятилетним планом за 3,5 – 4 года, а более двух тысяч рабочих выполнили по полтора – два пятилетних плана.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Одной из наиболее трудных задач, стоящих перед областью в послевоенные годы, было восстановление сельского хозяйства. Эта работа проводилась в условиях разрухи. Государство оказало крестьянам безвозмездную материальную помощь в размере 500 тысяч рублей. Среди безземельных крестьян было распределено 128 тысяч </w:t>
      </w:r>
      <w:r>
        <w:rPr>
          <w:rFonts w:ascii="Arial" w:hAnsi="Arial" w:cs="Arial"/>
          <w:color w:val="393939"/>
          <w:sz w:val="27"/>
          <w:szCs w:val="27"/>
        </w:rPr>
        <w:lastRenderedPageBreak/>
        <w:t>гектаров земли из государственного фонда. Активно продвигалась работа по созданию коллективных хозяйств.</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Несмотря на трудности, труженики села добивались неплохих результатов. Уже в 1953 году посевные площади основных сельскохозяйственных культур по всем категориям хозяйств достигли довоенного уровня. Поголовье крупного рогатого скота также превысило довоенный уровень. В 1958 году сельское хозяйство области имело уже четыре тысячи двести тракторов, одну тысячу сто зерно- и картофелеуборочных комбайнов, три тысячи триста грузовых автомобилей.</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Благодаря самоотверженному труду наших граждан, к началу пятидесятых годов восстановление разрушенного войной народного хозяйства области было завершено. В следующие годы проходило ее поступательное развитие и укрепление.</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Вот некоторые факты из биографии области.</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1947 год – в Гродно введен в эксплуатацию тонкосуконный комбинат, 1950 – комбинат строительных материалов, 1951 – завод карданных валов, 1953 – велозавод, 1957 – завод токарных патронов, 1960 – завод торгового машиностроения. В 1963 году вступили в строй азотнотуковый и кожевенный заводы, в 1967 году – прядильно-ниточная фабрика, деревообрабатывающий комбинат. Динамично развивалась промышленность Лиды, Слонима, Волковыска.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Серьезный шаг вперед был сделан в развитии социальной сферы. С 1944 года начал работу Гродненский педагогический институт, в 1957 году – сельскохозяйственный институт, в 1958 – медицинский институт. Открыты новые кинотеатры, библиотеки, больницы, учреждения культуры, охраны здоровья, образования и науки.</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1967 году за активное участие в партизанском движении, мужество и героизм, проявленные трудящимися Гродненской области в борьбе с немецко-фашистскими захватчиками в период Великой Отечественной войны, и успехи, достигнутые в восстановлении и развитии народного хозяйства, Гродненская область была награждена орденом Ленина. Орденом Трудового Красного Знамени отмечен г.Гродно, г.Лида – орденом «Знак Почета». За высокие производственные показатели в развитии экономики тысячи тружеников Гродненщины удостоены орденов и медалей. Звания Героя Социалистического Труда – 54 представителя промышленности, строительства, сельского хозяйства и других отраслей народного хозяйства. Три труженика села стали полными кавалерами ордена Трудовой Славы.</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lastRenderedPageBreak/>
        <w:t>По-настоящему звездным часом Принеманского края стали 70 – 80-е годы. Именно тогда Гродненщина получила общесоюзную известность как край высокоинтенсивного сельского хозяйства, эффективной промышленности, развитой социальной инфраструктуры.</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Вошли в строй 28 новых заводов, цехов и других объектов. В 11-й пятилетке план производства вырос на 35 процентов, более тысячи двухсот изделий были аттестованы на Знак качества. Лучшие товары предприятий: минеральные удобрения, запчасти к автомобилям, цемент, электротехническое оборудование –   поставлялись в 53 страны мира.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На карте области появились объединение «Химволокно», завод автомагнитол, лакокрасочный завод в Лиде. Индустриальный облик приобрела Сморгонь, другие города.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Многих удивлял феномен Гродненской области в развитии сельского хозяйства. В 80-е годы Гродненщина добилась значительных результатов в земледелии и животноводстве. Рост производства продукции шел в основном за счет интенсивных факторов. В каждом районе были построены крупные животноводческие комплексы, продолжалось углубление специализации и концентрации производства. Область по производству продукции на душу населения достигла уровня лучших европейских государств.</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Индустриальный облик Гродненщины в те годы отражают такие цифры. На долю региона приходилось около 10% промышленного производства страны. В области был сконцентрирован весь объем производства азотных удобрений, около 50% производства цемента, 1,7% мирового рынка карбамида и 2% сульфата аммония, около 6% мирового производства кордной и технической нити.</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2000 годах агропромышленный комплекс развивался на основе интенсивных технологий. Имея только 15% сельскохозяйственных угодий страны, область производила треть всей сахарной свеклы, выращенной в республике, четверть семян рапса, одну пятую часть от всего производства зерновых культур и льна. Зерна выращивали по 1200 килограммов на человека. Радовали хорошие показатели в развитии животноводства.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Жатва 2004 года показала, что гродненцам под силу еще более высокие рубежи. Залог этому – трудолюбие, самоотверженность наших людей, умение работать по-новому.</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Область вышла победителем соревнования на уборке урожая – впервые намолочено 1 миллион 400 тысяч тонн зерна, урожайность составила 44,4 центнера с гектара. Гродненский район получил с каждого гектара </w:t>
      </w:r>
      <w:r>
        <w:rPr>
          <w:rFonts w:ascii="Arial" w:hAnsi="Arial" w:cs="Arial"/>
          <w:color w:val="393939"/>
          <w:sz w:val="27"/>
          <w:szCs w:val="27"/>
        </w:rPr>
        <w:lastRenderedPageBreak/>
        <w:t>по 68 центнеров, в Берестовицком по 62, более 50 центнеров получено в Мостовском, Кореличском, Волковысском районах.</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СПК «Прогресс-Вертелишки» получена самая высокая в республике урожайность – более 92 центнеров с гектара. Порадовали урожаем хлеборобы СПК «Октябрь-Гродно», «Свислочь», «Обухово» и многие другие.</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Комбайнер из СПК «Негневичи» Новогрудского района Климко Геннадий Михайлович намолотил четыре тысячи сто пятнадцать тонн зерна. Это был абсолютный рекорд.</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Вырос и объем внешнеторгового оборота. Интенсивно развивалась сфера строительства. По товарообороту на душу населения область занимала первое место в республике.</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Объявление 2003 года годом благоустройства и наведения порядка на земле явилось отправной точкой для активизации всей работы по благоустройству населенных пунктов, приведению в порядок дорог, улиц, дворовых территорий, фасадов зданий.</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Отреставрировано большое количество исторических зданий в старой части областного центра. Введены в строй транспортные развязки, заложены новые скверы.</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Интенсивно развивалась область и в следующее десятилетие. Результатом проводимой государством политики в 2012 – 2017 годах стало сохранение социальной стабильности и рост качества жизни населения.</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Реализованы значимые для экономики области инвестиционные проекты: «Строительство, организация производства и последующая эксплуатация деревообрабатывающего завода Кроноспан в г. Сморгони» ИООО «Кроноспан»; «Создание вертикально-интегрированного комплекса по промышленному производству продукции из мяса индейки» ЗАО «МариямполесАрви»; «Строительство предприятия по механической сортировке отходов» ГОУП «УКС Гродненского облисполкома»; «Строительство цеха по производству сырокопченых изделий» ОАО «Гродненский мясокомбинат»; «Реконструкция производственного корпуса под цех по производству сычужных сыров мощностью 40 тонн в сутки» ОАО «Молочный Мир»; «Строительство завода по переработке сыворотки и производству сывороточно-жирового концентрата в г. Щучин» ООО «Праймилк»; «Создание производства фруктово-ягодных наполнителей в г. Волковыске» ИООО «БЕЛ-ОБСТ»; «Строительство агрологистического центра в г. Сморгонь» ООО «Белагротерминал»; «Строительство транспортно-логистического центра в районе пункта пропуска «Брузги» ООО «Влате Логистик»; </w:t>
      </w:r>
      <w:r>
        <w:rPr>
          <w:rFonts w:ascii="Arial" w:hAnsi="Arial" w:cs="Arial"/>
          <w:color w:val="393939"/>
          <w:sz w:val="27"/>
          <w:szCs w:val="27"/>
        </w:rPr>
        <w:lastRenderedPageBreak/>
        <w:t>«Строительство на территории Гродненской области санатория «РадонАльфа» на 250 мест с полным комплексом обслуживания» ООО «ТОРВЛАД». В 2013 году в Островецком районе начаты работы по возведению Белорусской атомной электростанции.</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Главной целью развития области 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2014 году за особые достижения в хозяйственном развитии Указом Президента Республики Беларусь № 452 Гродненской области присужден Почетный государственный флаг Республики Беларусь.</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Сегодня Гродненщина продолжает славные традиции, заложенные предыдущими поколениями жителей региона.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области проживает 992556 человек: белорусы (68,3%), поляки (21,7%), русские (6,4%), украинцы (1,0%), литовцы – 0,2%, татары, армяне, азербайджанцы, евреи, немцы и туркмены – по 0,1% и представители других национальностей.</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области обеспечивается поступательное развитие всех отраслей экономики.</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Организации Гродненской области производят порядка 10,7% от всего объема производства промышленной продукции республики.</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Именно на Гродненщине сосредоточен весь республиканский объем производства капролактама, аммиака, кордной ткани для шин, почти весь объем азотных удобрений, весь республиканский объем производства сухих молочных смесей для детей. По производству сухого молока и крахмала область занимает первое место в стране.</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Экономика характеризуется высокой степенью открытости: торгово-экономические отношения поддерживаются почти со 110 странами мира. Гродненским облисполкомом заключено около 80 документов международного характера с 58 регионами 15 иностранных государств.</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Особое значение придается взаимоотношениям с Россией. В рамках развития межрегиональных отношений заключены соглашения с правительствами (администрациями) 31 региона Российской Федерации. В 2022 году на территории Гродненской области состоялся IX Форум регионов Беларуси и России.</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Только за 2020 – 2023 гг. на территории Гродненской области завершена реализация крупных инвестиционных проектов по реконструкции </w:t>
      </w:r>
      <w:r>
        <w:rPr>
          <w:rFonts w:ascii="Arial" w:hAnsi="Arial" w:cs="Arial"/>
          <w:color w:val="393939"/>
          <w:sz w:val="27"/>
          <w:szCs w:val="27"/>
        </w:rPr>
        <w:lastRenderedPageBreak/>
        <w:t>воздухоразделительных установок цеха метанола ОАО «Гродно Азот», модернизации участка по выработке творога с заменой технологического оборудования и строительству цеха по сгущению и сушке молочных продуктов производительностью 40 тонн в сутки по готовому продукту в ОАО «Молочный Мир», реконструкции главного производственного корпуса в части установки линии производства мягких сыров ООО «Праймилк», реконструкции лесопильно-деревообрабатывающего цеха ОАО «Мостовдрев», строительство деревообрабатывающего производства в Свислочском районе и другие.</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Очень важным для страны и области стал ввод в эксплуатацию первой Белорусской атомной станции, завода по производству стеклянной тары с использованием инновационных энергоэффективных и ресурсосберегающих технологий ОАО «Гродненский стеклозавод».</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Продолжается реализация инвестиционных проектов по созданию производства инновационной многокомпонентной и однокомпонентной пряжи в г. Слоним, строительство агрегата производства карбамида ОАО «Гродно», сельскохозяйственного комплекса по производству субстрата для выращивания грибов в Щучинском районе ООО «ЛОГАЛ-АГРО».</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Принеманский край славится неповторимой архитектурой. Год за годом в области возводятся новые объекты социальной инфраструктуры, модернизируются старые. В частности, школа в современном и быстрорастущем микрорайоне Грандичи-3, поликлиника в г. Гродно на 650 посещений в смену.</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Активно осуществляется строительство жилья. Только за 2023 год построено 465,9 тысячи квадратных метров нового жилья. Введено в эксплуатацию 2627 квартир для нуждающихся в улучшении жилищных условий, 983 квартиры для многодетных семей, 673 арендные квартиры.</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Гродненской области активно ведутся работы по ремонту дорог. Только в текущем году будет отремонтировано 300 километров дорог.</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Гродненщина вносит весомый вклад в обеспечение продовольственной безопасности страны. Упорный труд, современные технологии и искренняя любовь людей к своему делу способствуют динамичному развитию сельскохозяйственной отрасли и достижению рекордных показателей.</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 xml:space="preserve">В отрасли растениеводства Гродненщина занимает лидирующие позиции в республике. Являясь одним из самых маленьких по площади, Принеманский регион на протяжении многих лет занимает второе место по производству зерна после Минской области, которая в 1,6 раза больше. Выращивается треть сахарной свеклы для четырех сахароперерабатывающих предприятий нашей страны. Традиционно </w:t>
      </w:r>
      <w:r>
        <w:rPr>
          <w:rFonts w:ascii="Arial" w:hAnsi="Arial" w:cs="Arial"/>
          <w:color w:val="393939"/>
          <w:sz w:val="27"/>
          <w:szCs w:val="27"/>
        </w:rPr>
        <w:lastRenderedPageBreak/>
        <w:t>область находится на первом месте по урожайности практически всех сельскохозяйственных культур. Не меньшие успехи у мясной отрасли животноводства.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Бесспорны достижения Гродненщины в развитии образования, науки, здравоохранения, культуры и спорта.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системе образования работает 139 Отличников образования. За 5 последних лет учащимися Гродненщины завоевано 23 медали на предметных международных олимпиадах. Область входит в тройку лучших в республике по результатам ЦТ, занимает первое место по количеству учащихся, прошедших обучение в Национальном детском технопарке. С 1994 по 2024 годы в области построено 22 школы и 30 детских садов.</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Сегодня в области работает более 5,7 тысячи врачей, свыше 12,9 тысячи средних медицинских работников.  </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целях повышения качества жизни людей, оказания им своевременной и эффективной медицинской помощи, развивается и улучшается материально-техническая база медицинских учреждений. Продолжается строительство и модернизация учреждений здравоохранения. Важным объектом является строительство онкологического диспансера. В 2024 году с участием Президента Республики Беларусь А.Г.Лукашенко заложено основание и начато строительство новой современной больницы в г. Гродно. Ее ввод в эксплуатацию практически завершит масштабную модернизацию системы здравоохранения областного центра.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В области бережно сохраняются более 1,5 тысячи памятников истории и культуры, в том числе 480 имеют статус памятников республиканского значения. Мирский замок решением ЮНЕСКО, включен в список Всемирного наследия человечества.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Далеко за пределами Республики Беларусь известны артисты драматического театра и театра кукол, ансамблей песни и танца «Белые росы», «Неман», художники, мастера народных промыслов.</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 достижение в 2021 году наилучших результатов в сфере социально-экономического развития Гродненская область была занесена на Республиканскую доску Почета.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Большую известность в Республике Беларусь и за ее пределами приобрел Всебелорусский фестиваль национальных культур, в котором в 2024 году приняли участие представители 33 национальностей.</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lastRenderedPageBreak/>
        <w:t>На территории Гродненщины расположено 68 особо охраняемых природных территорий, среди которых два национальных парка.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Принеманская земля богата на спортивные таланты. Гродненщина вырастила немало выдающихся спортсменов, прославивших страну. Среди них 11 олимпийских чемпионов.</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Гродненские спортсмены неоднократно доказывали, что достойны наград высшей пробы и в таких видах спорта, как баскетбол, пулевая стрельба, гандбол, гребля на байдарках и каноэ, легкая атлетика (метание ядра), тяжелая атлетика, футбол. Преуспели в фехтовании, волейболе, греко-римской борьбе, метании молота, метании диска, вольной борьбе.</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Залогом дальнейшего успешного социально-экономического развития Гродненской области является искренняя любовь проживающих в ней людей к своей малой родине и родной Беларуси в целом. Их готовность отдавать свои силы, талант и мастерство для процветания Отечества.</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За 80 прошедших лет накоплен богатый опыт, развиваются традиции и имеется значительный кадровый потенциал. Гродненщина взрастила и воспитала плеяду таких известных деятелей, как Калинин Петр Захарович, Притыцкий Сергей Осипович, Авхимович Николай Ефремович, Баранов Федор Алексеевич, Пономарев Григорий Григорьевич, Мицкевич Владимир Федорович, Микулович Иван Федорович, Клецков Леонид Герасимович, Ратайко Петр Иванович, Ляхов Федор Александрович, Кононович Ипполит Сельвестрович, Молочко Николай Петрович, Фомичев Григорий Филатович, Кабяк Сергей Терентьевич, Дубко Александр Иосифович.</w:t>
      </w:r>
    </w:p>
    <w:p w:rsidR="0014720E" w:rsidRDefault="0014720E" w:rsidP="0014720E">
      <w:pPr>
        <w:pStyle w:val="a3"/>
        <w:shd w:val="clear" w:color="auto" w:fill="FFFFFF"/>
        <w:spacing w:before="0" w:beforeAutospacing="0"/>
        <w:rPr>
          <w:rFonts w:ascii="Arial" w:hAnsi="Arial" w:cs="Arial"/>
          <w:color w:val="393939"/>
          <w:sz w:val="27"/>
          <w:szCs w:val="27"/>
        </w:rPr>
      </w:pPr>
      <w:r>
        <w:rPr>
          <w:rFonts w:ascii="Arial" w:hAnsi="Arial" w:cs="Arial"/>
          <w:color w:val="393939"/>
          <w:sz w:val="27"/>
          <w:szCs w:val="27"/>
        </w:rPr>
        <w:t>Далеко за пределами области и республики известны такие талантливые организаторы производства, как Андрей Максимович Воронецкий, Василий Александрович Глебко, Петр Иосифович Деньщиков, Григорий Иванович Шевяков, Герой Социалистического Труда Владимир Александрович Баум, Герой Беларуси Виталий Ильич Кремко, Василий Афанасьевич Ревяко, Герой Социалистического Труда Илья Петрович Сенько, Василий Николаевич Густырь и многие другие, вписавшие свои имена в славную летопись созидательных свершений региона.</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720E"/>
    <w:rsid w:val="000D212C"/>
    <w:rsid w:val="0014720E"/>
    <w:rsid w:val="006C0B77"/>
    <w:rsid w:val="008242FF"/>
    <w:rsid w:val="00870751"/>
    <w:rsid w:val="00922C48"/>
    <w:rsid w:val="009D3C1E"/>
    <w:rsid w:val="00B915B7"/>
    <w:rsid w:val="00CD0931"/>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20E"/>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53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14837</Characters>
  <Application>Microsoft Office Word</Application>
  <DocSecurity>0</DocSecurity>
  <Lines>123</Lines>
  <Paragraphs>34</Paragraphs>
  <ScaleCrop>false</ScaleCrop>
  <Company/>
  <LinksUpToDate>false</LinksUpToDate>
  <CharactersWithSpaces>17405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2024-09-19T06:43:00Z</dcterms:created>
  <dcterms:modified xsi:type="dcterms:W3CDTF">2024-09-19T06:43:00Z</dcterms:modified>
</cp:coreProperties>
</file>